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 xml:space="preserve">Ministerie van Buitenlandse Zaken</w:t>
      </w:r>
    </w:p>
    <w:p w:rsidR="00000000" w:rsidDel="00000000" w:rsidP="00000000" w:rsidRDefault="00000000" w:rsidRPr="00000000" w14:paraId="00000002">
      <w:pPr>
        <w:rPr>
          <w:sz w:val="24"/>
          <w:szCs w:val="24"/>
        </w:rPr>
      </w:pPr>
      <w:r w:rsidDel="00000000" w:rsidR="00000000" w:rsidRPr="00000000">
        <w:rPr>
          <w:sz w:val="24"/>
          <w:szCs w:val="24"/>
          <w:rtl w:val="0"/>
        </w:rPr>
        <w:t xml:space="preserve">T.a.v. de minister van Buitenlandse Zaken</w:t>
      </w:r>
    </w:p>
    <w:p w:rsidR="00000000" w:rsidDel="00000000" w:rsidP="00000000" w:rsidRDefault="00000000" w:rsidRPr="00000000" w14:paraId="00000003">
      <w:pPr>
        <w:rPr>
          <w:sz w:val="24"/>
          <w:szCs w:val="24"/>
        </w:rPr>
      </w:pPr>
      <w:r w:rsidDel="00000000" w:rsidR="00000000" w:rsidRPr="00000000">
        <w:rPr>
          <w:sz w:val="24"/>
          <w:szCs w:val="24"/>
          <w:rtl w:val="0"/>
        </w:rPr>
        <w:t xml:space="preserve">Postbus 20061</w:t>
      </w:r>
    </w:p>
    <w:p w:rsidR="00000000" w:rsidDel="00000000" w:rsidP="00000000" w:rsidRDefault="00000000" w:rsidRPr="00000000" w14:paraId="00000004">
      <w:pPr>
        <w:rPr>
          <w:sz w:val="24"/>
          <w:szCs w:val="24"/>
        </w:rPr>
      </w:pPr>
      <w:r w:rsidDel="00000000" w:rsidR="00000000" w:rsidRPr="00000000">
        <w:rPr>
          <w:sz w:val="24"/>
          <w:szCs w:val="24"/>
          <w:rtl w:val="0"/>
        </w:rPr>
        <w:t xml:space="preserve">2500 EB Den Haag</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Geachte minister, geacht kabinet,</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Ik schrijf u deze brief om uw aandacht te vragen voor de situatie in het door Indonesië bezette </w:t>
      </w:r>
      <w:r w:rsidDel="00000000" w:rsidR="00000000" w:rsidRPr="00000000">
        <w:rPr>
          <w:b w:val="1"/>
          <w:bCs w:val="1"/>
          <w:sz w:val="24"/>
          <w:szCs w:val="24"/>
          <w:rtl w:val="0"/>
        </w:rPr>
        <w:t xml:space="preserve">West Papua</w:t>
      </w:r>
      <w:r w:rsidDel="00000000" w:rsidR="00000000" w:rsidRPr="00000000">
        <w:rPr>
          <w:sz w:val="24"/>
          <w:szCs w:val="24"/>
          <w:rtl w:val="0"/>
        </w:rPr>
        <w:t xml:space="preserve">.</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Sinds Nederland in 1963 West Papua overdroeg aan Indonesië, maakt Indonesië zich schuldig aan mensenrechtenschendingen en zijn er naar schatting 500.000 Papua’s omgekomen door toedoen van de Indonesische bezettingsmacht.</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Onafhankelijke journalisten en mensenrechtenorganisaties wordt structureel de toegang tot West Papua ontzegd, waardoor ernstige mensenrechtenschendingen buiten het zicht van de internationale gemeenschap kunnen plaatsvinden.</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Er is hard bewijs dat er een genocide wordt gepleegd, wetenschappers van Yale Law School stellen in een artikel uit 2004 dat: “in het beschikbare bewijs een sterke aanwijzing zit dat de Indonesische regering genocide heeft gepleegd tegen de West Papua’s.”</w:t>
      </w:r>
      <w:r w:rsidDel="00000000" w:rsidR="00000000" w:rsidRPr="00000000">
        <w:rPr>
          <w:sz w:val="24"/>
          <w:szCs w:val="24"/>
          <w:vertAlign w:val="superscript"/>
        </w:rPr>
        <w:footnoteReference w:customMarkFollows="0" w:id="2"/>
      </w:r>
      <w:r w:rsidDel="00000000" w:rsidR="00000000" w:rsidRPr="00000000">
        <w:rPr>
          <w:rFonts w:ascii="Tahoma" w:cs="Tahoma" w:eastAsia="Tahoma" w:hAnsi="Tahoma"/>
          <w:sz w:val="24"/>
          <w:szCs w:val="24"/>
          <w:rtl w:val="0"/>
        </w:rPr>
        <w:t xml:space="preserve"> </w:t>
      </w:r>
      <w:r w:rsidDel="00000000" w:rsidR="00000000" w:rsidRPr="00000000">
        <w:rPr>
          <w:sz w:val="24"/>
          <w:szCs w:val="24"/>
          <w:rtl w:val="0"/>
        </w:rPr>
        <w:t xml:space="preserve">En wetenschappers van de Wollongong Universiteit in Australië hebben aangetoond dat er sprake is van opzet vanuit de Indonesische regering - een noodzakelijke voorwaarde onder het Genocideverdrag van 1948.</w:t>
      </w:r>
      <w:r w:rsidDel="00000000" w:rsidR="00000000" w:rsidRPr="00000000">
        <w:rPr>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Door middel van deze brief wil ik u en het gehele kabinet oproepen om de Papua’s te steunen en maatregelen te nemen tegen Indonesië. De inwoners van West Papua vragen slechts om hun recht op zelfbeschikking uit te oefenen. Zij pleiten voor een nieuwe stemming, die voldoet aan erkende internationale normen, in de vorm van een nieuw referendum over onafhankelijkheid onder toezicht van de Verenigde Naties. Het enige wat zij vragen is om de keuze te hebben om in een vrij land te leven, vrij van mensenrechtenschendingen en vervolging, net zoals wij in Europa.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Ik roep u op om:</w:t>
      </w:r>
    </w:p>
    <w:p w:rsidR="00000000" w:rsidDel="00000000" w:rsidP="00000000" w:rsidRDefault="00000000" w:rsidRPr="00000000" w14:paraId="00000012">
      <w:pPr>
        <w:numPr>
          <w:ilvl w:val="0"/>
          <w:numId w:val="1"/>
        </w:numPr>
        <w:ind w:left="720" w:hanging="360"/>
        <w:rPr>
          <w:sz w:val="24"/>
          <w:szCs w:val="24"/>
          <w:u w:val="none"/>
        </w:rPr>
      </w:pPr>
      <w:r w:rsidDel="00000000" w:rsidR="00000000" w:rsidRPr="00000000">
        <w:rPr>
          <w:sz w:val="24"/>
          <w:szCs w:val="24"/>
          <w:rtl w:val="0"/>
        </w:rPr>
        <w:t xml:space="preserve">de mensenrechtenschendingen in West Papua continu aan te kaarten bij Indonesië, binnen EU-verband en binnen de Verenigde Naties; </w:t>
      </w:r>
    </w:p>
    <w:p w:rsidR="00000000" w:rsidDel="00000000" w:rsidP="00000000" w:rsidRDefault="00000000" w:rsidRPr="00000000" w14:paraId="00000013">
      <w:pPr>
        <w:numPr>
          <w:ilvl w:val="0"/>
          <w:numId w:val="1"/>
        </w:numPr>
        <w:ind w:left="720" w:hanging="360"/>
        <w:rPr>
          <w:sz w:val="24"/>
          <w:szCs w:val="24"/>
          <w:u w:val="none"/>
        </w:rPr>
      </w:pPr>
      <w:r w:rsidDel="00000000" w:rsidR="00000000" w:rsidRPr="00000000">
        <w:rPr>
          <w:sz w:val="24"/>
          <w:szCs w:val="24"/>
          <w:rtl w:val="0"/>
        </w:rPr>
        <w:t xml:space="preserve">de Nederlandse verplichting volgens het Genocideverdrag om genocide te </w:t>
      </w:r>
      <w:r w:rsidDel="00000000" w:rsidR="00000000" w:rsidRPr="00000000">
        <w:rPr>
          <w:sz w:val="24"/>
          <w:szCs w:val="24"/>
          <w:u w:val="single"/>
          <w:rtl w:val="0"/>
        </w:rPr>
        <w:t xml:space="preserve">voorkomen</w:t>
      </w:r>
      <w:r w:rsidDel="00000000" w:rsidR="00000000" w:rsidRPr="00000000">
        <w:rPr>
          <w:sz w:val="24"/>
          <w:szCs w:val="24"/>
          <w:rtl w:val="0"/>
        </w:rPr>
        <w:t xml:space="preserve"> na te komen; </w:t>
      </w:r>
    </w:p>
    <w:p w:rsidR="00000000" w:rsidDel="00000000" w:rsidP="00000000" w:rsidRDefault="00000000" w:rsidRPr="00000000" w14:paraId="00000014">
      <w:pPr>
        <w:numPr>
          <w:ilvl w:val="0"/>
          <w:numId w:val="1"/>
        </w:numPr>
        <w:ind w:left="720" w:hanging="360"/>
        <w:rPr>
          <w:sz w:val="24"/>
          <w:szCs w:val="24"/>
          <w:u w:val="none"/>
        </w:rPr>
      </w:pPr>
      <w:r w:rsidDel="00000000" w:rsidR="00000000" w:rsidRPr="00000000">
        <w:rPr>
          <w:sz w:val="24"/>
          <w:szCs w:val="24"/>
          <w:rtl w:val="0"/>
        </w:rPr>
        <w:t xml:space="preserve">de Nederlandse verplichting volgens het Genocideverdrag om genocide te </w:t>
      </w:r>
      <w:r w:rsidDel="00000000" w:rsidR="00000000" w:rsidRPr="00000000">
        <w:rPr>
          <w:sz w:val="24"/>
          <w:szCs w:val="24"/>
          <w:u w:val="single"/>
          <w:rtl w:val="0"/>
        </w:rPr>
        <w:t xml:space="preserve">bestraffen</w:t>
      </w:r>
      <w:r w:rsidDel="00000000" w:rsidR="00000000" w:rsidRPr="00000000">
        <w:rPr>
          <w:sz w:val="24"/>
          <w:szCs w:val="24"/>
          <w:rtl w:val="0"/>
        </w:rPr>
        <w:t xml:space="preserve"> na te komen, en u dus in te zetten voor de vervolging van Indonesische oorlogsmisdadigers; </w:t>
      </w:r>
    </w:p>
    <w:p w:rsidR="00000000" w:rsidDel="00000000" w:rsidP="00000000" w:rsidRDefault="00000000" w:rsidRPr="00000000" w14:paraId="00000015">
      <w:pPr>
        <w:numPr>
          <w:ilvl w:val="0"/>
          <w:numId w:val="1"/>
        </w:numPr>
        <w:ind w:left="720" w:hanging="360"/>
        <w:rPr>
          <w:sz w:val="24"/>
          <w:szCs w:val="24"/>
          <w:u w:val="none"/>
        </w:rPr>
      </w:pPr>
      <w:r w:rsidDel="00000000" w:rsidR="00000000" w:rsidRPr="00000000">
        <w:rPr>
          <w:sz w:val="24"/>
          <w:szCs w:val="24"/>
          <w:rtl w:val="0"/>
        </w:rPr>
        <w:t xml:space="preserve">de druk op Indonesië op te voeren om het bezoek van de VN Hoge Commissaris voor de Mensenrechten aan West Papua toe te staan; </w:t>
      </w:r>
    </w:p>
    <w:p w:rsidR="00000000" w:rsidDel="00000000" w:rsidP="00000000" w:rsidRDefault="00000000" w:rsidRPr="00000000" w14:paraId="00000016">
      <w:pPr>
        <w:numPr>
          <w:ilvl w:val="0"/>
          <w:numId w:val="1"/>
        </w:numPr>
        <w:ind w:left="720" w:hanging="360"/>
        <w:rPr>
          <w:sz w:val="24"/>
          <w:szCs w:val="24"/>
          <w:u w:val="none"/>
        </w:rPr>
      </w:pPr>
      <w:r w:rsidDel="00000000" w:rsidR="00000000" w:rsidRPr="00000000">
        <w:rPr>
          <w:sz w:val="24"/>
          <w:szCs w:val="24"/>
          <w:rtl w:val="0"/>
        </w:rPr>
        <w:t xml:space="preserve">actief transparantie en onafhankelijke verificatie van de situatie in West Papua af te dwingen, waaronder vrije toegang voor journalisten en mensenrechtenorganisaties;</w:t>
      </w:r>
    </w:p>
    <w:p w:rsidR="00000000" w:rsidDel="00000000" w:rsidP="00000000" w:rsidRDefault="00000000" w:rsidRPr="00000000" w14:paraId="00000017">
      <w:pPr>
        <w:numPr>
          <w:ilvl w:val="0"/>
          <w:numId w:val="1"/>
        </w:numPr>
        <w:ind w:left="720" w:hanging="360"/>
        <w:rPr>
          <w:sz w:val="24"/>
          <w:szCs w:val="24"/>
          <w:u w:val="none"/>
        </w:rPr>
      </w:pPr>
      <w:r w:rsidDel="00000000" w:rsidR="00000000" w:rsidRPr="00000000">
        <w:rPr>
          <w:sz w:val="24"/>
          <w:szCs w:val="24"/>
          <w:rtl w:val="0"/>
        </w:rPr>
        <w:t xml:space="preserve">een resolutie in te dienen bij de Verenigde Naties waarin het verzoekt om een ‘advisory opinion’ van het Internationaal Gerechtshof over het dekolonisatieproces van West Papua</w:t>
      </w:r>
    </w:p>
    <w:p w:rsidR="00000000" w:rsidDel="00000000" w:rsidP="00000000" w:rsidRDefault="00000000" w:rsidRPr="00000000" w14:paraId="00000018">
      <w:pPr>
        <w:numPr>
          <w:ilvl w:val="0"/>
          <w:numId w:val="1"/>
        </w:numPr>
        <w:ind w:left="720" w:hanging="360"/>
        <w:rPr>
          <w:sz w:val="24"/>
          <w:szCs w:val="24"/>
          <w:u w:val="none"/>
        </w:rPr>
      </w:pPr>
      <w:r w:rsidDel="00000000" w:rsidR="00000000" w:rsidRPr="00000000">
        <w:rPr>
          <w:sz w:val="24"/>
          <w:szCs w:val="24"/>
          <w:rtl w:val="0"/>
        </w:rPr>
        <w:t xml:space="preserve">het in werking treden van het vrijhandelsverdrag tussen de EU en Indonesië randvoorwaardelijk te maken aan het stoppen van de mensenrechtenschendingen</w:t>
      </w:r>
    </w:p>
    <w:p w:rsidR="00000000" w:rsidDel="00000000" w:rsidP="00000000" w:rsidRDefault="00000000" w:rsidRPr="00000000" w14:paraId="00000019">
      <w:pPr>
        <w:numPr>
          <w:ilvl w:val="0"/>
          <w:numId w:val="1"/>
        </w:numPr>
        <w:ind w:left="720" w:hanging="360"/>
        <w:rPr>
          <w:sz w:val="24"/>
          <w:szCs w:val="24"/>
          <w:u w:val="none"/>
        </w:rPr>
      </w:pPr>
      <w:r w:rsidDel="00000000" w:rsidR="00000000" w:rsidRPr="00000000">
        <w:rPr>
          <w:sz w:val="24"/>
          <w:szCs w:val="24"/>
          <w:rtl w:val="0"/>
        </w:rPr>
        <w:t xml:space="preserve">als Nederlandse regering te erkennen dat het in aanloop naar, tijdens en na afloop van de Act of Free Choice in 1969 onjuist heeft gehandeld, niet in lijn met de principes van de Verenigde Naties </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shd w:fill="ffffff" w:val="clear"/>
        <w:spacing w:after="240" w:line="264" w:lineRule="auto"/>
        <w:rPr>
          <w:sz w:val="24"/>
          <w:szCs w:val="24"/>
        </w:rPr>
      </w:pPr>
      <w:bookmarkStart w:colFirst="0" w:colLast="0" w:name="_w0f9bwm0iogo" w:id="0"/>
      <w:bookmarkEnd w:id="0"/>
      <w:r w:rsidDel="00000000" w:rsidR="00000000" w:rsidRPr="00000000">
        <w:rPr>
          <w:sz w:val="24"/>
          <w:szCs w:val="24"/>
          <w:rtl w:val="0"/>
        </w:rPr>
        <w:t xml:space="preserve">Ik hoop dat u deze kwestie serieus neemt en in actie komt.</w:t>
      </w:r>
    </w:p>
    <w:p w:rsidR="00000000" w:rsidDel="00000000" w:rsidP="00000000" w:rsidRDefault="00000000" w:rsidRPr="00000000" w14:paraId="0000001C">
      <w:pPr>
        <w:shd w:fill="ffffff" w:val="clear"/>
        <w:spacing w:after="240" w:line="264" w:lineRule="auto"/>
        <w:rPr>
          <w:sz w:val="24"/>
          <w:szCs w:val="24"/>
        </w:rPr>
      </w:pPr>
      <w:bookmarkStart w:colFirst="0" w:colLast="0" w:name="_jr3ogb321vz5" w:id="1"/>
      <w:bookmarkEnd w:id="1"/>
      <w:r w:rsidDel="00000000" w:rsidR="00000000" w:rsidRPr="00000000">
        <w:rPr>
          <w:sz w:val="24"/>
          <w:szCs w:val="24"/>
          <w:rtl w:val="0"/>
        </w:rPr>
        <w:t xml:space="preserve">Hartelijk dank.</w:t>
      </w:r>
    </w:p>
    <w:p w:rsidR="00000000" w:rsidDel="00000000" w:rsidP="00000000" w:rsidRDefault="00000000" w:rsidRPr="00000000" w14:paraId="0000001D">
      <w:pPr>
        <w:shd w:fill="ffffff" w:val="clear"/>
        <w:spacing w:after="240" w:line="264" w:lineRule="auto"/>
        <w:rPr>
          <w:sz w:val="24"/>
          <w:szCs w:val="24"/>
        </w:rPr>
      </w:pPr>
      <w:bookmarkStart w:colFirst="0" w:colLast="0" w:name="_io1wmxrbk18v" w:id="2"/>
      <w:bookmarkEnd w:id="2"/>
      <w:r w:rsidDel="00000000" w:rsidR="00000000" w:rsidRPr="00000000">
        <w:rPr>
          <w:rtl w:val="0"/>
        </w:rPr>
      </w:r>
    </w:p>
    <w:p w:rsidR="00000000" w:rsidDel="00000000" w:rsidP="00000000" w:rsidRDefault="00000000" w:rsidRPr="00000000" w14:paraId="0000001E">
      <w:pPr>
        <w:shd w:fill="ffffff" w:val="clear"/>
        <w:spacing w:after="240" w:line="264" w:lineRule="auto"/>
        <w:rPr>
          <w:sz w:val="24"/>
          <w:szCs w:val="24"/>
        </w:rPr>
      </w:pPr>
      <w:bookmarkStart w:colFirst="0" w:colLast="0" w:name="_95t9idr9hgtj" w:id="3"/>
      <w:bookmarkEnd w:id="3"/>
      <w:r w:rsidDel="00000000" w:rsidR="00000000" w:rsidRPr="00000000">
        <w:rPr>
          <w:sz w:val="24"/>
          <w:szCs w:val="24"/>
          <w:rtl w:val="0"/>
        </w:rPr>
        <w:t xml:space="preserve">Hoogachtend,</w:t>
      </w:r>
    </w:p>
    <w:p w:rsidR="00000000" w:rsidDel="00000000" w:rsidP="00000000" w:rsidRDefault="00000000" w:rsidRPr="00000000" w14:paraId="0000001F">
      <w:pPr>
        <w:shd w:fill="ffffff" w:val="clear"/>
        <w:spacing w:after="240" w:line="264" w:lineRule="auto"/>
        <w:rPr>
          <w:sz w:val="24"/>
          <w:szCs w:val="24"/>
        </w:rPr>
      </w:pPr>
      <w:bookmarkStart w:colFirst="0" w:colLast="0" w:name="_ydp74qv722yi" w:id="4"/>
      <w:bookmarkEnd w:id="4"/>
      <w:r w:rsidDel="00000000" w:rsidR="00000000" w:rsidRPr="00000000">
        <w:rPr>
          <w:rtl w:val="0"/>
        </w:rPr>
      </w:r>
    </w:p>
    <w:p w:rsidR="00000000" w:rsidDel="00000000" w:rsidP="00000000" w:rsidRDefault="00000000" w:rsidRPr="00000000" w14:paraId="00000020">
      <w:pPr>
        <w:shd w:fill="ffffff" w:val="clear"/>
        <w:spacing w:after="240" w:line="264" w:lineRule="auto"/>
        <w:rPr>
          <w:sz w:val="24"/>
          <w:szCs w:val="24"/>
        </w:rPr>
      </w:pPr>
      <w:bookmarkStart w:colFirst="0" w:colLast="0" w:name="_82xcnnjdpj9j" w:id="5"/>
      <w:bookmarkEnd w:id="5"/>
      <w:r w:rsidDel="00000000" w:rsidR="00000000" w:rsidRPr="00000000">
        <w:rPr>
          <w:sz w:val="24"/>
          <w:szCs w:val="24"/>
          <w:rtl w:val="0"/>
        </w:rPr>
        <w:t xml:space="preserve">[invullen naam]</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ahoma">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1">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hyperlink r:id="rId1">
        <w:r w:rsidDel="00000000" w:rsidR="00000000" w:rsidRPr="00000000">
          <w:rPr>
            <w:rFonts w:ascii="Calibri" w:cs="Calibri" w:eastAsia="Calibri" w:hAnsi="Calibri"/>
            <w:color w:val="1155cc"/>
            <w:sz w:val="20"/>
            <w:szCs w:val="20"/>
            <w:u w:val="single"/>
            <w:rtl w:val="0"/>
          </w:rPr>
          <w:t xml:space="preserve">http://www.aljazeera.com/indepth/opinion/2012/03/201232172539145809.html</w:t>
        </w:r>
      </w:hyperlink>
      <w:r w:rsidDel="00000000" w:rsidR="00000000" w:rsidRPr="00000000">
        <w:rPr>
          <w:rFonts w:ascii="Calibri" w:cs="Calibri" w:eastAsia="Calibri" w:hAnsi="Calibri"/>
          <w:sz w:val="20"/>
          <w:szCs w:val="20"/>
          <w:rtl w:val="0"/>
        </w:rPr>
        <w:t xml:space="preserve"> </w:t>
      </w:r>
    </w:p>
  </w:footnote>
  <w:footnote w:id="2">
    <w:p w:rsidR="00000000" w:rsidDel="00000000" w:rsidP="00000000" w:rsidRDefault="00000000" w:rsidRPr="00000000" w14:paraId="00000022">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hyperlink r:id="rId2">
        <w:r w:rsidDel="00000000" w:rsidR="00000000" w:rsidRPr="00000000">
          <w:rPr>
            <w:rFonts w:ascii="Calibri" w:cs="Calibri" w:eastAsia="Calibri" w:hAnsi="Calibri"/>
            <w:color w:val="1155cc"/>
            <w:sz w:val="20"/>
            <w:szCs w:val="20"/>
            <w:u w:val="single"/>
            <w:rtl w:val="0"/>
          </w:rPr>
          <w:t xml:space="preserve">http://www.law.yale.edu/documents/pdf/Intellectual_Life/West_Papua_final_report.pdf</w:t>
        </w:r>
      </w:hyperlink>
      <w:r w:rsidDel="00000000" w:rsidR="00000000" w:rsidRPr="00000000">
        <w:rPr>
          <w:rFonts w:ascii="Calibri" w:cs="Calibri" w:eastAsia="Calibri" w:hAnsi="Calibri"/>
          <w:sz w:val="20"/>
          <w:szCs w:val="20"/>
          <w:rtl w:val="0"/>
        </w:rPr>
        <w:t xml:space="preserve"> </w:t>
      </w:r>
    </w:p>
  </w:footnote>
  <w:footnote w:id="3">
    <w:p w:rsidR="00000000" w:rsidDel="00000000" w:rsidP="00000000" w:rsidRDefault="00000000" w:rsidRPr="00000000" w14:paraId="00000023">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hyperlink r:id="rId3">
        <w:r w:rsidDel="00000000" w:rsidR="00000000" w:rsidRPr="00000000">
          <w:rPr>
            <w:rFonts w:ascii="Calibri" w:cs="Calibri" w:eastAsia="Calibri" w:hAnsi="Calibri"/>
            <w:color w:val="1155cc"/>
            <w:sz w:val="20"/>
            <w:szCs w:val="20"/>
            <w:u w:val="single"/>
            <w:rtl w:val="0"/>
          </w:rPr>
          <w:t xml:space="preserve">https://ro.uow.edu.au/articles/journal_contribution/A_slow-motion_genocide_Indonesian_rule_in_West_Papua/27713991?file=50463582</w:t>
        </w:r>
      </w:hyperlink>
      <w:r w:rsidDel="00000000" w:rsidR="00000000" w:rsidRPr="00000000">
        <w:rPr>
          <w:rtl w:val="0"/>
        </w:rPr>
      </w:r>
    </w:p>
  </w:footnote>
  <w:footnote w:id="1">
    <w:p w:rsidR="00000000" w:rsidDel="00000000" w:rsidP="00000000" w:rsidRDefault="00000000" w:rsidRPr="00000000" w14:paraId="00000024">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hyperlink r:id="rId4">
        <w:r w:rsidDel="00000000" w:rsidR="00000000" w:rsidRPr="00000000">
          <w:rPr>
            <w:rFonts w:ascii="Calibri" w:cs="Calibri" w:eastAsia="Calibri" w:hAnsi="Calibri"/>
            <w:color w:val="1155cc"/>
            <w:sz w:val="20"/>
            <w:szCs w:val="20"/>
            <w:u w:val="single"/>
            <w:rtl w:val="0"/>
          </w:rPr>
          <w:t xml:space="preserve">http://amnesty.org/fr/wp-content/uploads/2021/05/ASA2115752015ENGLISH.pdf</w:t>
        </w:r>
      </w:hyperlink>
      <w:r w:rsidDel="00000000" w:rsidR="00000000" w:rsidRPr="00000000">
        <w:rPr>
          <w:rFonts w:ascii="Calibri" w:cs="Calibri" w:eastAsia="Calibri" w:hAnsi="Calibri"/>
          <w:sz w:val="20"/>
          <w:szCs w:val="20"/>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footnotes.xml.rels><?xml version="1.0" encoding="UTF-8" standalone="yes"?><Relationships xmlns="http://schemas.openxmlformats.org/package/2006/relationships"><Relationship Id="rId1" Type="http://schemas.openxmlformats.org/officeDocument/2006/relationships/hyperlink" Target="http://www.aljazeera.com/indepth/opinion/2012/03/201232172539145809.html" TargetMode="External"/><Relationship Id="rId2" Type="http://schemas.openxmlformats.org/officeDocument/2006/relationships/hyperlink" Target="http://www.law.yale.edu/documents/pdf/Intellectual_Life/West_Papua_final_report.pdf" TargetMode="External"/><Relationship Id="rId3" Type="http://schemas.openxmlformats.org/officeDocument/2006/relationships/hyperlink" Target="https://ro.uow.edu.au/articles/journal_contribution/A_slow-motion_genocide_Indonesian_rule_in_West_Papua/27713991?file=50463582" TargetMode="External"/><Relationship Id="rId4" Type="http://schemas.openxmlformats.org/officeDocument/2006/relationships/hyperlink" Target="http://amnesty.org/fr/wp-content/uploads/2021/05/ASA2115752015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